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03196F">
        <w:rPr>
          <w:rFonts w:asciiTheme="minorHAnsi" w:hAnsiTheme="minorHAnsi" w:cs="Arial"/>
          <w:b/>
          <w:bCs/>
          <w:color w:val="FF0000"/>
          <w:sz w:val="28"/>
        </w:rPr>
        <w:t>Projekt</w:t>
      </w:r>
      <w:r w:rsidRPr="0003196F">
        <w:rPr>
          <w:rFonts w:asciiTheme="minorHAnsi" w:hAnsiTheme="minorHAnsi" w:cs="Arial"/>
          <w:b/>
          <w:bCs/>
          <w:color w:val="000000" w:themeColor="text1"/>
          <w:sz w:val="28"/>
        </w:rPr>
        <w:t xml:space="preserve"> R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 xml:space="preserve">ocznego program współpracy Gminy Wyszków 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03196F">
        <w:rPr>
          <w:rFonts w:asciiTheme="minorHAnsi" w:hAnsiTheme="minorHAnsi" w:cs="Arial"/>
          <w:b/>
          <w:bCs/>
          <w:color w:val="000000"/>
          <w:sz w:val="28"/>
        </w:rPr>
        <w:t>z organizacjami pozarządowymi oraz podmiotami wymien</w:t>
      </w:r>
      <w:r w:rsidR="0003196F" w:rsidRPr="0003196F">
        <w:rPr>
          <w:rFonts w:asciiTheme="minorHAnsi" w:hAnsiTheme="minorHAnsi" w:cs="Arial"/>
          <w:b/>
          <w:bCs/>
          <w:color w:val="000000"/>
          <w:sz w:val="28"/>
        </w:rPr>
        <w:t>ionymi w art. 3 ust. 3 ustawy o 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>działalności pożytku publicznego i o wolontariacie na 2021 rok</w:t>
      </w: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 w:cs="Arial"/>
        </w:rPr>
      </w:pP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 w:cs="Arial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1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POSTANOWIENIA OGÓLNE</w:t>
      </w:r>
    </w:p>
    <w:p w:rsidR="005E65DF" w:rsidRPr="0003196F" w:rsidRDefault="00587D0E">
      <w:pPr>
        <w:pStyle w:val="NormalnyWeb"/>
        <w:numPr>
          <w:ilvl w:val="0"/>
          <w:numId w:val="24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Ilekroć w niniejszym „Rocznym programie współpracy Gminy Wyszków z organizacjami pozarządowymi oraz podmiotami wymienionymi w art. 3 ust.3 ustawy o działalności pożytku publicznego i o wolontariacie na 2021 rok”, zwanym dalej „Programem”, jest mowa o: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Ustawie – należy przez to rozumieć ustawę z dnia 24 kwietnia 2003</w:t>
      </w:r>
      <w:r w:rsidR="00445149" w:rsidRPr="0003196F">
        <w:rPr>
          <w:rFonts w:asciiTheme="minorHAnsi" w:hAnsiTheme="minorHAnsi"/>
        </w:rPr>
        <w:t xml:space="preserve"> </w:t>
      </w:r>
      <w:r w:rsidRPr="0003196F">
        <w:rPr>
          <w:rFonts w:asciiTheme="minorHAnsi" w:hAnsiTheme="minorHAnsi"/>
        </w:rPr>
        <w:t>r. o działalności pożytku publicznego i o wolontariacie (</w:t>
      </w:r>
      <w:proofErr w:type="spellStart"/>
      <w:r w:rsidRPr="0003196F">
        <w:rPr>
          <w:rFonts w:asciiTheme="minorHAnsi" w:hAnsiTheme="minorHAnsi"/>
          <w:color w:val="000000" w:themeColor="text1"/>
        </w:rPr>
        <w:t>t.j</w:t>
      </w:r>
      <w:proofErr w:type="spellEnd"/>
      <w:r w:rsidRPr="0003196F">
        <w:rPr>
          <w:rFonts w:asciiTheme="minorHAnsi" w:hAnsiTheme="minorHAnsi"/>
          <w:color w:val="000000" w:themeColor="text1"/>
        </w:rPr>
        <w:t>. Dz.U. z 2020 poz. 1057).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Organizacjach pozarządowych – ilekroć w programie jest mowa o organizacjach pozarządowych, należy przez to rozumieć podmioty, o których mowa w art. 3 ust. 2 ustawy, natomiast ilekroć w jest mowa o innych podmiotach objętych programem, należy przez to rozumieć podmioty, o których mowa w art. 3 ust. 3 ustawy.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Działalności pożytku publicznego – należy przez to rozumieć działalność społecznie użyteczną prowadzoną przez organizacje pozarządowe w sferze zadań publicznych określonych w ustawie.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Gminie – należy przez to rozumieć Gminę Wyszków.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Radzie – należy przez to rozumieć Radę Miejską w Wyszkowie.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Burmistrzu – należy przez to rozumieć Burmistrza Wyszkowa.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Urzędzie – należy przez to rozumieć Urząd Miejski w Wyszkowie.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Dotacji – – należy przez to rozumieć dotację w rozumieniu art. 127 ust. 1 pkt 1 lit. e ustawy z dnia 27 sierpnia 2009 r. o finansach publicznych (Dz. U. z 2019 r. poz. 869 z</w:t>
      </w:r>
      <w:r w:rsidR="00445149" w:rsidRPr="0003196F">
        <w:rPr>
          <w:rFonts w:asciiTheme="minorHAnsi" w:hAnsiTheme="minorHAnsi"/>
          <w:color w:val="000000"/>
        </w:rPr>
        <w:t xml:space="preserve"> późń.</w:t>
      </w:r>
      <w:r w:rsidRPr="0003196F">
        <w:rPr>
          <w:rFonts w:asciiTheme="minorHAnsi" w:hAnsiTheme="minorHAnsi"/>
          <w:color w:val="000000"/>
        </w:rPr>
        <w:t>zm.)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Programie – należy przez to rozumieć Program współpracy z organizacjami pozarządowymi oraz innymi podmiotami, o którym mowa w art.5a ust.1 ustawy.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Konkursie - należy przez to rozumieć otwarty konkurs ofert na realizację zadań publicznych, ogłaszany zgodnie z art. 13 ustawy, w którym uczestniczą organizacje pozarządowe;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Ofercie – należy przez to rozumieć wypełniony wzór oferty realizacji zadania publicznego, o którym mowa w § 1 ust. 1 Rozporządzenia Przewodniczącego Komitetu do spraw Pożytku Publicznego z dnia 24.10.2018</w:t>
      </w:r>
      <w:r w:rsidR="00445149"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 xml:space="preserve">r. w sprawie wzorów ofert i ramowych wzorów umów dotyczących realizacji zadań publicznych oraz wzorów sprawozdań z wykonania tych zadań </w:t>
      </w:r>
      <w:r w:rsidRPr="0003196F">
        <w:rPr>
          <w:rFonts w:asciiTheme="minorHAnsi" w:hAnsiTheme="minorHAnsi"/>
          <w:color w:val="000000" w:themeColor="text1"/>
        </w:rPr>
        <w:t>(poz. 2057).</w:t>
      </w:r>
    </w:p>
    <w:p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/>
          <w:color w:val="FF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2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CEL GŁÓWNY I CELE SZCZEGÓŁOWE PROGRAMU</w:t>
      </w:r>
    </w:p>
    <w:p w:rsidR="005E65DF" w:rsidRPr="0003196F" w:rsidRDefault="00587D0E">
      <w:pPr>
        <w:pStyle w:val="NormalnyWeb"/>
        <w:numPr>
          <w:ilvl w:val="0"/>
          <w:numId w:val="2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Celem głównym Programu jest zwiększenie udziału i zaangażowania organizacji pozarządowych w rozwój Gminy i poprawę jakości życia jej mieszkańców </w:t>
      </w:r>
      <w:r w:rsidRPr="0003196F">
        <w:rPr>
          <w:rFonts w:asciiTheme="minorHAnsi" w:hAnsiTheme="minorHAnsi"/>
          <w:color w:val="000000"/>
        </w:rPr>
        <w:t>poprzez pełniejsze zaspokajanie potrzeb społecznych</w:t>
      </w:r>
      <w:r w:rsidRPr="0003196F">
        <w:rPr>
          <w:rFonts w:asciiTheme="minorHAnsi" w:hAnsiTheme="minorHAnsi"/>
        </w:rPr>
        <w:t>.</w:t>
      </w:r>
    </w:p>
    <w:p w:rsidR="005E65DF" w:rsidRPr="0003196F" w:rsidRDefault="00587D0E">
      <w:pPr>
        <w:pStyle w:val="NormalnyWeb"/>
        <w:numPr>
          <w:ilvl w:val="0"/>
          <w:numId w:val="2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Celami szczegółowymi programu są m.in.: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Rozwój dialogu społecznego oraz poprawa komunikacji pomiędzy organizacjami pozarządowymi a Gminą.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Poprawa efektywności i wzrost liczby realizowanych zadań publicznych przez organizacje pozarządowe.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Rozwój sektora pozarządowego w Gminie oraz zwiększenie aktywności organizacji w wykorzystaniu środków pozabudżetowych</w:t>
      </w:r>
      <w:r w:rsidRPr="0003196F">
        <w:rPr>
          <w:rFonts w:asciiTheme="minorHAnsi" w:hAnsiTheme="minorHAnsi"/>
          <w:color w:val="000000"/>
        </w:rPr>
        <w:t>.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Promocja postaw obywatelskich i prospołecznych, tworzenie sprzyjających warunków dla powstania inicjatyw i struktur funkcjonujących na rzecz społeczności lokalnych;</w:t>
      </w:r>
    </w:p>
    <w:p w:rsidR="005E65DF" w:rsidRDefault="00587D0E" w:rsidP="0003196F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Wzmacnianie w świadomości lokalnej poczucia odpowiedzialności za otoczenie, wspólnotę lokalną oraz tradycję;</w:t>
      </w:r>
    </w:p>
    <w:p w:rsidR="0003196F" w:rsidRPr="0003196F" w:rsidRDefault="0003196F" w:rsidP="0003196F">
      <w:pPr>
        <w:pStyle w:val="NormalnyWeb"/>
        <w:spacing w:beforeAutospacing="0" w:after="0"/>
        <w:ind w:left="567"/>
        <w:jc w:val="both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3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ZASADY WSPÓŁPRACY</w:t>
      </w:r>
    </w:p>
    <w:p w:rsidR="005E65DF" w:rsidRPr="0003196F" w:rsidRDefault="00587D0E">
      <w:pPr>
        <w:pStyle w:val="NormalnyWeb"/>
        <w:numPr>
          <w:ilvl w:val="0"/>
          <w:numId w:val="8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Podejmując współpracę z organizacjami pozarządowymi Gmina kierować się będzie następującymi zasadami: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pomocniczości (inaczej subsydiarności) – zgodnie z którą realizacja możliwie szerokiego zakresu zadań publicznych Gminy powinna odbywać się poprzez struktury usytuowane jak najbliżej obywateli, natomiast Gmina podejmuje działania na rzecz pobudzania, wspomagania i uzupełniania działalności sektora pozarządowego;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suwerenności – rozumiana jako gwarancja zachowania własnej autonomii, niezależności; równości Gminy i organizacji pozarządowych we wzajemnych relacjach, przy jednoczesnym szacunku obu stron wobec siebie;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partnerstwa – rozumianego jak podstawa współpracy na rzecz Gminy i jej mieszkańców równorzędnych podmiotów, odpowiedzialnie działających na rzecz realizacji wspólnych celów;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efektywności – rozumianej jako wspólne dbanie o to, aby poniesione nakłady w zakresie realizacji zadań publicznych przyniosły maksymalne korzyści dla mieszkańców;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uczciwej konkurencji – rozumianej jako stosowanie takich samych, obiektywnych i transparentnych zasad w dostępie do realizacji zadań publicznych dla wszystkich podmiotów współpracy; 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jawności – rozumianej jako udostępnianie wszelkich informacji dotyczących działań i środków dotyczących realizacji zadań publicznych; 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współodpowiedzialności – rozumianej jako wspólne dążenie do polepszania życia mieszkańców Gminy poprzez odpowiedzialność względem partnerów za działania podejmowane przez sektor pozarządowy i administrację samorządową. Wszelkie podejmowane wspólnie działania wiążą się tym samym z ponoszeniem przez partnerów współpracy odpowiedzialności względem mieszkańców;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zrównoważonego rozwoju – rozumianej jako podejmowanie przez obie strony działań, które przyczyniają się do wzrostu gospodarczego przy jednoczesnym zapewnieniu równomiernego podziału korzyści, ochrony zasobów naturalnych i środowiska oraz rozwoju społecznego;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równości szans – rozumianej jako dbanie o włączenie do realizacji zadań grup wykluczonych lub zagrożonych wykluczeniem.</w:t>
      </w: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4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ZAKRES PRZEDMIOTOWY WSPÓŁPRACY</w:t>
      </w:r>
    </w:p>
    <w:p w:rsidR="005E65DF" w:rsidRPr="0003196F" w:rsidRDefault="00587D0E">
      <w:pPr>
        <w:pStyle w:val="NormalnyWeb"/>
        <w:numPr>
          <w:ilvl w:val="0"/>
          <w:numId w:val="9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Współpraca z organizacjami pozarządowymi odbywać się będzie w sferze zadań publicznych określonych w art. 4 ust. 1 ustawy, o ile są one zadaniami własnymi Gminy. </w:t>
      </w:r>
    </w:p>
    <w:p w:rsidR="005E65DF" w:rsidRPr="0003196F" w:rsidRDefault="00587D0E">
      <w:pPr>
        <w:pStyle w:val="NormalnyWeb"/>
        <w:numPr>
          <w:ilvl w:val="0"/>
          <w:numId w:val="9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Kryterium decydując</w:t>
      </w:r>
      <w:r w:rsidR="00445149" w:rsidRPr="0003196F">
        <w:rPr>
          <w:rFonts w:asciiTheme="minorHAnsi" w:hAnsiTheme="minorHAnsi"/>
        </w:rPr>
        <w:t>ym</w:t>
      </w:r>
      <w:r w:rsidRPr="0003196F">
        <w:rPr>
          <w:rFonts w:asciiTheme="minorHAnsi" w:hAnsiTheme="minorHAnsi"/>
        </w:rPr>
        <w:t xml:space="preserve"> o rozważeniu współpracy Burmistrza z organizacją pozarządową jest skierowanie zadania do mieszkańców Gminy.</w:t>
      </w:r>
    </w:p>
    <w:p w:rsidR="005E65DF" w:rsidRDefault="005E65D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03196F" w:rsidRDefault="0003196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03196F" w:rsidRDefault="0003196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03196F" w:rsidRDefault="0003196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03196F" w:rsidRDefault="0003196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03196F" w:rsidRPr="0003196F" w:rsidRDefault="0003196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lastRenderedPageBreak/>
        <w:t>Rozdział 5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FORMY WSPÓŁPRACY</w:t>
      </w:r>
    </w:p>
    <w:p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Współpraca pomiędzy Gminą a organizacjami pozarządowymi oraz innymi podmiotami prowadzącymi działalność statutową w 2021 r. na terenie Gminy może mieć formę finansową i pozafinansową.</w:t>
      </w:r>
    </w:p>
    <w:p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Współpraca o charakterze finansowym odbywa się w formie:</w:t>
      </w:r>
    </w:p>
    <w:p w:rsidR="005E65DF" w:rsidRPr="0003196F" w:rsidRDefault="00587D0E">
      <w:pPr>
        <w:pStyle w:val="NormalnyWeb"/>
        <w:numPr>
          <w:ilvl w:val="0"/>
          <w:numId w:val="23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wspierania lub powierzania wykonywania zadań publicznych w trybie otwartego konkursu ofert, z wyłączeniem przypadków dopuszczonych ustawą do stosowania innego trybu. Tryb konkursu: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konkurs na realizację zadań publicznych Burmistrz ogłasza:</w:t>
      </w:r>
    </w:p>
    <w:p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>- w BIP,</w:t>
      </w:r>
    </w:p>
    <w:p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 xml:space="preserve">- na stronie www.wyszkow.pl </w:t>
      </w:r>
      <w:r w:rsidRPr="0003196F">
        <w:rPr>
          <w:rFonts w:asciiTheme="minorHAnsi" w:hAnsiTheme="minorHAnsi"/>
          <w:i/>
          <w:color w:val="000000" w:themeColor="text1"/>
        </w:rPr>
        <w:t>(zakładka NGO),</w:t>
      </w:r>
    </w:p>
    <w:p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>- na tablicy ogłoszeń w Urzędzie,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termin składania Ofert nie może być krótszy niż 21 dni,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podstawowym kryterium jest prowadzenie przez organizacje pozarządowe działalności statutowej na rzecz mieszkańców Gminy,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 w:themeColor="text1"/>
        </w:rPr>
        <w:t>w celu opiniowania ofert na realizację zadań publicznych Burmistrz powołuje w formie zarządzenia komisję konkursową złożoną z przedstawicieli Burmistrza i przedstawicieli organizacji pozarządowych z wyłączeniem reprezentantów organizacji pozarządowych biorących udział w danym konkursie, zasady działania komisji konkursowej określa Rozdział 12,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konkursie może zostać wybrana więcej niż jedna oferta,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wyniki konkursów podawane są do publicznej wiadomości w sposób wskazany w lit. a,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 ogłoszeniu wyników Konkursu Burmistrz bez zbędnej zwłoki zawiera umowy na wsparcie realizacji zadania publicznego lub powierzenie realizacji zadania publicznego z wyłonionymi organizacjami pozarządowymi,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Gmina unieważnia konkurs jeżeli: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nie złożono żadnej oferty,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żadna ze złożonych ofert nie spełnia wymogów zawartych w ogłoszeniu,</w:t>
      </w:r>
    </w:p>
    <w:p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Gmina może dokonać niezapowiedzianej kontroli i oceny realizacji zadania. Ocenie będzie podlegać w szczególności: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stan realizacji zadania,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efektywność, rzetelność i jakość wykonania zadania,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prawidłowość wykorzystania środków publicznych otrzymanych na realizację zadania,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prowadzona dokumentacja,</w:t>
      </w:r>
    </w:p>
    <w:p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 zakończeniu realizacji zadania organizacja pozarządowa zobowiązana jest do przedstawienia sprawozdania końcowego w terminie 30 dni od jego zakończenia,</w:t>
      </w:r>
    </w:p>
    <w:p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razie wystąpienia klęski żywiołowej, katastrofy naturalnej lub awarii technicznej, w rozumieniu art. 3 ust.1 ustawy z dnia 18 kwietnia 2002</w:t>
      </w:r>
      <w:r w:rsidR="00445149"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>r. o stanie klęski żywiołowej (</w:t>
      </w:r>
      <w:proofErr w:type="spellStart"/>
      <w:r w:rsidRPr="0003196F">
        <w:rPr>
          <w:rFonts w:asciiTheme="minorHAnsi" w:hAnsiTheme="minorHAnsi"/>
          <w:color w:val="000000"/>
        </w:rPr>
        <w:t>t.j</w:t>
      </w:r>
      <w:proofErr w:type="spellEnd"/>
      <w:r w:rsidRPr="0003196F">
        <w:rPr>
          <w:rFonts w:asciiTheme="minorHAnsi" w:hAnsiTheme="minorHAnsi"/>
          <w:color w:val="000000"/>
        </w:rPr>
        <w:t>. Dz.U. 2017 poz. 1897) Gmina, w celu zapobieżenia ich skutkom, może zlecać organizacjom pozarządowym oraz innym podmiotom wymienionym w art. 3 ust. 3 Ustawy realizację zadania publicznego z pominięciem Konkursu.</w:t>
      </w:r>
    </w:p>
    <w:p w:rsidR="005E65DF" w:rsidRPr="0003196F" w:rsidRDefault="00587D0E">
      <w:pPr>
        <w:pStyle w:val="NormalnyWeb"/>
        <w:numPr>
          <w:ilvl w:val="0"/>
          <w:numId w:val="23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wspierania lub powierzania wykonywania zadań publicznych z pominięciem otwartego konkursu ofert:</w:t>
      </w:r>
    </w:p>
    <w:p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na wniosek organizacji pozarządowej Gmina może zlecić realizację zadania publicznego o charakterze lokalnym lub regionalnym, którego wysokość dotacji nie przekracza </w:t>
      </w:r>
      <w:r w:rsidRPr="0003196F">
        <w:rPr>
          <w:rFonts w:asciiTheme="minorHAnsi" w:hAnsiTheme="minorHAnsi"/>
          <w:color w:val="000000"/>
        </w:rPr>
        <w:br/>
        <w:t>10 000 PLN, a czas realizacji nie jest dłuższy niż 90 dni,</w:t>
      </w:r>
    </w:p>
    <w:p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łączna kwota dotacji dla tej samej organizacji pozarządowej, nie może przekroczyć 20 000 PLN przekazanych przez Gminę w tym trybie, w danym roku kalendarzowym i nie może </w:t>
      </w:r>
      <w:r w:rsidRPr="0003196F">
        <w:rPr>
          <w:rFonts w:asciiTheme="minorHAnsi" w:hAnsiTheme="minorHAnsi"/>
          <w:color w:val="000000"/>
        </w:rPr>
        <w:lastRenderedPageBreak/>
        <w:t>stanowić więcej niż 20% dotacji planowanych na realizacje zadań publicznych przez organizacje pozarządowe w danym roku budżetowym,</w:t>
      </w:r>
    </w:p>
    <w:p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szczegółowe przepisy stosowania trybu zlecenia z pominięciem Konkursu zawiera art. 19a Ustawy.</w:t>
      </w:r>
    </w:p>
    <w:p w:rsidR="005E65DF" w:rsidRPr="0003196F" w:rsidRDefault="00587D0E">
      <w:pPr>
        <w:pStyle w:val="NormalnyWeb"/>
        <w:numPr>
          <w:ilvl w:val="0"/>
          <w:numId w:val="25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oddaniu w najem na preferencyjnych warunkach należących do Gminy lokali użytkowych i obiektów organizacjom na cel prowadzonej przez nie działalności pożytku publicznego; </w:t>
      </w:r>
    </w:p>
    <w:p w:rsidR="005E65DF" w:rsidRPr="0003196F" w:rsidRDefault="00587D0E">
      <w:pPr>
        <w:pStyle w:val="NormalnyWeb"/>
        <w:numPr>
          <w:ilvl w:val="0"/>
          <w:numId w:val="25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dzierżawy na preferencyjnych warunkach należących do Gminy nieruchomości na potrzeby realizacji zadań na rzecz mieszkańców;</w:t>
      </w:r>
    </w:p>
    <w:p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Do form współpracy pozafinansowych realizowanych w Gminie należą: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bieżąca wymiana informacji między Gminą a organizacjami pozarządowymi o planowanych kierunkach działalności,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konsultowanie projektów aktów prawa miejscowego z organizacjami pozarządowymi w dziedzinach dotyczących ich działalności statutowej,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bezpłatne udostępnianie, w miarę posiadanych możliwości, pomieszczeń (np. </w:t>
      </w:r>
      <w:proofErr w:type="spellStart"/>
      <w:r w:rsidRPr="0003196F">
        <w:rPr>
          <w:rFonts w:asciiTheme="minorHAnsi" w:hAnsiTheme="minorHAnsi"/>
        </w:rPr>
        <w:t>sal</w:t>
      </w:r>
      <w:proofErr w:type="spellEnd"/>
      <w:r w:rsidRPr="0003196F">
        <w:rPr>
          <w:rFonts w:asciiTheme="minorHAnsi" w:hAnsiTheme="minorHAnsi"/>
        </w:rPr>
        <w:t xml:space="preserve"> wykładowych) i sprzętu stanowiącego własność Gminy na organizowane przez organizacje pozarządowe przedsięwzięcia o charakterze okazjonalnym,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zawierania porozumień dotyczących wspólnej realizacji zadań i projektów,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tworzenia wspólnych zespołów o charakterze doradczym i konsultacyjnym,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</w:t>
      </w:r>
      <w:r w:rsidRPr="0003196F">
        <w:rPr>
          <w:rFonts w:asciiTheme="minorHAnsi" w:hAnsiTheme="minorHAnsi"/>
          <w:color w:val="000000"/>
        </w:rPr>
        <w:t>romowanie na terenie Gminy idei odprowadzania 1% podatku na lokalne organizacje posiadające status organizacji pożytku publicznego, zgodnie z wykazem Ministra właściwego do spraw zabezpieczenia społecznego art. 27a Ustawy.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o</w:t>
      </w:r>
      <w:r w:rsidRPr="0003196F">
        <w:rPr>
          <w:rFonts w:asciiTheme="minorHAnsi" w:hAnsiTheme="minorHAnsi"/>
        </w:rPr>
        <w:t>bejmowanie patronatem przez Burmistrza wydarzeń organizowanych przez organizacje pozarządowe, zgodnie z procedurą udzielania patronatów przyjętą przez Urząd,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prowadzenie wspólnych przedsięwzięć – współorganizowanie i współpraca podczas festynów, imprez, eventów itp.,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promowanie osiągnięć i działalności organizacji pozarządowych i innych podmiotów prowadzonych na rzecz mieszkańców oraz informowanie o realizowanych przez nie projektach, 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udzielanie rekomendacji organizacjom pozarządowym i innym podmiotom współpracującym z Gminą,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</w:t>
      </w:r>
      <w:r w:rsidRPr="0003196F">
        <w:rPr>
          <w:rFonts w:asciiTheme="minorHAnsi" w:hAnsiTheme="minorHAnsi"/>
          <w:color w:val="000000"/>
        </w:rPr>
        <w:t>rowadzenie przez Urząd wyodrębnionej podstrony internetowej, poświęconej tematyce organizacji pozarządowych,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wzmacniania merytorycznego organizacji pozarządowych m. in. poprzez organizację konferencji, seminariów, szkoleń, konsultacje telefoniczne, doradztwo, w szczególności w zakresie przygotowywania dokumentów, w tym wniosków konkursowych, sprawozdań, rozliczeń.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współdziałanie w nawiązywaniu kontaktów i współpracy w skali lokalnej i międzynarodowej.</w:t>
      </w:r>
    </w:p>
    <w:p w:rsidR="005E65DF" w:rsidRPr="0003196F" w:rsidRDefault="005E65DF">
      <w:pPr>
        <w:pStyle w:val="NormalnyWeb"/>
        <w:spacing w:beforeAutospacing="0" w:after="0"/>
        <w:ind w:left="180"/>
        <w:jc w:val="both"/>
        <w:rPr>
          <w:rFonts w:asciiTheme="minorHAnsi" w:hAnsiTheme="minorHAnsi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6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PRIORYTETOWE ZADANIA PUBLICZNE</w:t>
      </w:r>
    </w:p>
    <w:p w:rsidR="005E65DF" w:rsidRPr="0003196F" w:rsidRDefault="00587D0E">
      <w:pPr>
        <w:pStyle w:val="NormalnyWeb"/>
        <w:numPr>
          <w:ilvl w:val="0"/>
          <w:numId w:val="1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b/>
        </w:rPr>
        <w:t>W roku 2021, jako priorytetowe uznane zostały następujące zadania publiczne</w:t>
      </w:r>
      <w:r w:rsidRPr="0003196F">
        <w:rPr>
          <w:rFonts w:asciiTheme="minorHAnsi" w:hAnsiTheme="minorHAnsi"/>
        </w:rPr>
        <w:t>: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 zakresu kultury, sztuki, ochrony dóbr kultury i </w:t>
      </w:r>
      <w:r w:rsidRPr="0003196F">
        <w:rPr>
          <w:rFonts w:asciiTheme="minorHAnsi" w:hAnsiTheme="minorHAnsi"/>
          <w:color w:val="000000"/>
        </w:rPr>
        <w:t>dziedzictwa narodowego:</w:t>
      </w:r>
    </w:p>
    <w:p w:rsidR="005E65DF" w:rsidRPr="0003196F" w:rsidRDefault="00587D0E">
      <w:pPr>
        <w:pStyle w:val="NormalnyWeb"/>
        <w:numPr>
          <w:ilvl w:val="0"/>
          <w:numId w:val="13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wspieranie działalności związanej z prowadzeniem orkiestr,</w:t>
      </w:r>
    </w:p>
    <w:p w:rsidR="005E65DF" w:rsidRPr="0003196F" w:rsidRDefault="00587D0E">
      <w:pPr>
        <w:pStyle w:val="NormalnyWeb"/>
        <w:numPr>
          <w:ilvl w:val="0"/>
          <w:numId w:val="13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wspieranie działalności związanej z prowadzeniem zespołów tanecznych, wokalnych (śpiewaczych), rockowych,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działalności na rzecz osób w wieku emerytalnym:</w:t>
      </w:r>
    </w:p>
    <w:p w:rsidR="005E65DF" w:rsidRPr="0003196F" w:rsidRDefault="00587D0E">
      <w:pPr>
        <w:pStyle w:val="NormalnyWeb"/>
        <w:numPr>
          <w:ilvl w:val="0"/>
          <w:numId w:val="20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działalność uniwersytetu trzeciego wieku,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z zakresu wspierania i</w:t>
      </w:r>
      <w:r w:rsidRPr="0003196F">
        <w:rPr>
          <w:rFonts w:asciiTheme="minorHAnsi" w:hAnsiTheme="minorHAnsi"/>
          <w:color w:val="FF0000"/>
        </w:rPr>
        <w:t xml:space="preserve"> </w:t>
      </w:r>
      <w:r w:rsidRPr="0003196F">
        <w:rPr>
          <w:rFonts w:asciiTheme="minorHAnsi" w:hAnsiTheme="minorHAnsi"/>
        </w:rPr>
        <w:t>upowszechniania kultury fizycznej:</w:t>
      </w:r>
    </w:p>
    <w:p w:rsidR="005E65DF" w:rsidRPr="0003196F" w:rsidRDefault="00587D0E">
      <w:pPr>
        <w:pStyle w:val="NormalnyWeb"/>
        <w:numPr>
          <w:ilvl w:val="0"/>
          <w:numId w:val="15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lastRenderedPageBreak/>
        <w:t>prowadzenie sekcji sportowych i zajęć sportowo – rekreacyjnych dla dzieci i młodzieży, w tym wspieranie szkolenia sportowego w piłce nożnej, piłce siatkowej, piłce ręcznej, sztukach walki, fu</w:t>
      </w:r>
      <w:r w:rsidR="00EB587F" w:rsidRPr="0003196F">
        <w:rPr>
          <w:rFonts w:asciiTheme="minorHAnsi" w:hAnsiTheme="minorHAnsi"/>
        </w:rPr>
        <w:t>tbolu amerykańskim, kolarstwie</w:t>
      </w:r>
      <w:r w:rsidRPr="0003196F">
        <w:rPr>
          <w:rFonts w:asciiTheme="minorHAnsi" w:hAnsiTheme="minorHAnsi"/>
        </w:rPr>
        <w:t>,</w:t>
      </w:r>
    </w:p>
    <w:p w:rsidR="005E65DF" w:rsidRPr="0003196F" w:rsidRDefault="00587D0E">
      <w:pPr>
        <w:pStyle w:val="NormalnyWeb"/>
        <w:numPr>
          <w:ilvl w:val="0"/>
          <w:numId w:val="15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starty w zawodach sportowych dzieci i młodzieży w dyscyplinie pływanie i piłka siatkowa minimum na szczeblu wojewódzkim,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turystyki i krajoznawstwa:</w:t>
      </w:r>
    </w:p>
    <w:p w:rsidR="005E65DF" w:rsidRPr="0003196F" w:rsidRDefault="00587D0E">
      <w:pPr>
        <w:pStyle w:val="NormalnyWeb"/>
        <w:numPr>
          <w:ilvl w:val="2"/>
          <w:numId w:val="4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organizacja imprez turystycznych,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pomocy społecznej:</w:t>
      </w:r>
    </w:p>
    <w:p w:rsidR="005E65DF" w:rsidRPr="0003196F" w:rsidRDefault="00587D0E">
      <w:pPr>
        <w:pStyle w:val="NormalnyWeb"/>
        <w:numPr>
          <w:ilvl w:val="0"/>
          <w:numId w:val="16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prowadzenie i zapewnienie miejsc w mieszkaniach chronionych,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 zakresu ekologii i ochrony zwierząt oraz ochrony dziedzictwa przyrodniczego:</w:t>
      </w:r>
    </w:p>
    <w:p w:rsidR="005E65DF" w:rsidRPr="0003196F" w:rsidRDefault="00587D0E">
      <w:pPr>
        <w:pStyle w:val="NormalnyWeb"/>
        <w:numPr>
          <w:ilvl w:val="0"/>
          <w:numId w:val="17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wspieranie programów zapobiegających bezdomności zwierząt,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 zakresu porządku i bezpieczeństwa publicznego:</w:t>
      </w:r>
    </w:p>
    <w:p w:rsidR="005E65DF" w:rsidRPr="0003196F" w:rsidRDefault="00587D0E">
      <w:pPr>
        <w:pStyle w:val="NormalnyWeb"/>
        <w:numPr>
          <w:ilvl w:val="0"/>
          <w:numId w:val="18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obsługa monitoringu wizyjnego miasta Wyszkowa,</w:t>
      </w:r>
    </w:p>
    <w:p w:rsidR="00EB587F" w:rsidRPr="0003196F" w:rsidRDefault="00EB587F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7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OKRES REALIZACJI PROGRAMU</w:t>
      </w:r>
    </w:p>
    <w:p w:rsidR="005E65DF" w:rsidRPr="0003196F" w:rsidRDefault="00587D0E">
      <w:pPr>
        <w:pStyle w:val="NormalnyWeb"/>
        <w:spacing w:beforeAutospacing="0" w:after="0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Program obowiązuje od 1 stycznia 2021 r. do 31 grudnia 2021 r.</w:t>
      </w: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8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SPOSÓB REALIZACJI PROGRAMU</w:t>
      </w:r>
    </w:p>
    <w:p w:rsidR="005E65DF" w:rsidRPr="0003196F" w:rsidRDefault="00587D0E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Zlecanie organizacjom pozarządowym realizacji zadań publicznych odbywa się na podstawie otwartych konkursów ofert, ogłaszanych przez Burmistrza na zasadach określonych w ustawie i niniejszym Programie. </w:t>
      </w:r>
    </w:p>
    <w:p w:rsidR="005E65DF" w:rsidRPr="0003196F" w:rsidRDefault="00587D0E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Na portalu internetowym www.wyszkow.pl (zakładka NGO) jest prowadzony i aktualizowany serwis dla organizacji pozarządowych, </w:t>
      </w:r>
      <w:r w:rsidR="00EB587F" w:rsidRPr="0003196F">
        <w:rPr>
          <w:rFonts w:asciiTheme="minorHAnsi" w:hAnsiTheme="minorHAnsi"/>
        </w:rPr>
        <w:t xml:space="preserve">dotyczący </w:t>
      </w:r>
      <w:r w:rsidRPr="0003196F">
        <w:rPr>
          <w:rFonts w:asciiTheme="minorHAnsi" w:hAnsiTheme="minorHAnsi"/>
        </w:rPr>
        <w:t xml:space="preserve">m.in.: 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zadań publicznych, które będą realizowane w danym roku wraz z podaniem wysokości środków finansowych przeznaczanych z budżetu Gminy na realizację tych zadań, 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ogłaszanych konkursów ofert na realizację zadań publicznych, 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wyników konkursów ofert.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dokumentów i artykułów dotyczących przepisów prawa w zakresie konkursów i innych form współpracy. </w:t>
      </w:r>
    </w:p>
    <w:p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Zlecanie organizacjom pozarządowym realizacji zadań z pominięciem otwartego konkursu ofert odbywa się na zasadach określonych w ustawie. </w:t>
      </w:r>
    </w:p>
    <w:p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Środki na realizację zadań publicznych, o których mowa w rozdziale 6 będą zabezpieczone w budżecie Gminy.</w:t>
      </w:r>
    </w:p>
    <w:p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Program koordynuje komórka merytoryczna w Urzędzie, do której zakresu działania należy koordynacja współpracy Gminy z organizacjami pozarządowymi.  </w:t>
      </w:r>
    </w:p>
    <w:p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 w:cs="Arial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9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WYSOKOŚĆ ŚRODKOW PRZEZNACZONYCH NA REALIZACJĘ PROGRAMU</w:t>
      </w:r>
    </w:p>
    <w:p w:rsidR="005E65DF" w:rsidRPr="0003196F" w:rsidRDefault="00587D0E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Planowana wysokość środków finansowych na zadania publiczne wynosi </w:t>
      </w:r>
      <w:r w:rsidRPr="0003196F">
        <w:rPr>
          <w:rFonts w:asciiTheme="minorHAnsi" w:hAnsiTheme="minorHAnsi"/>
          <w:b/>
          <w:color w:val="000000"/>
        </w:rPr>
        <w:t xml:space="preserve">………………. </w:t>
      </w:r>
      <w:r w:rsidRPr="0003196F">
        <w:rPr>
          <w:rFonts w:asciiTheme="minorHAnsi" w:hAnsiTheme="minorHAnsi"/>
          <w:color w:val="000000"/>
        </w:rPr>
        <w:t>PLN (słownie: …………….).</w:t>
      </w:r>
    </w:p>
    <w:p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10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SPOSÓB OCENY REALIZACJI PROGRAMU</w:t>
      </w:r>
    </w:p>
    <w:p w:rsidR="005E65DF" w:rsidRPr="0003196F" w:rsidRDefault="00587D0E">
      <w:pPr>
        <w:pStyle w:val="NormalnyWeb"/>
        <w:numPr>
          <w:ilvl w:val="0"/>
          <w:numId w:val="14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Sprawozdanie z realizacji Programu współpracy za rok 202</w:t>
      </w:r>
      <w:r w:rsidR="00EB587F" w:rsidRPr="0003196F">
        <w:rPr>
          <w:rFonts w:asciiTheme="minorHAnsi" w:hAnsiTheme="minorHAnsi"/>
          <w:color w:val="000000"/>
        </w:rPr>
        <w:t>1</w:t>
      </w:r>
      <w:r w:rsidRPr="0003196F">
        <w:rPr>
          <w:rFonts w:asciiTheme="minorHAnsi" w:hAnsiTheme="minorHAnsi"/>
          <w:color w:val="000000"/>
        </w:rPr>
        <w:t xml:space="preserve"> Burmistrz przedstawia Radzie w terminie do 30.05.202</w:t>
      </w:r>
      <w:r w:rsidR="00EB587F" w:rsidRPr="0003196F">
        <w:rPr>
          <w:rFonts w:asciiTheme="minorHAnsi" w:hAnsiTheme="minorHAnsi"/>
          <w:color w:val="000000"/>
        </w:rPr>
        <w:t>2</w:t>
      </w:r>
      <w:r w:rsidRPr="0003196F">
        <w:rPr>
          <w:rFonts w:asciiTheme="minorHAnsi" w:hAnsiTheme="minorHAnsi"/>
          <w:color w:val="000000"/>
        </w:rPr>
        <w:t xml:space="preserve"> r. </w:t>
      </w:r>
    </w:p>
    <w:p w:rsidR="005E65DF" w:rsidRPr="0003196F" w:rsidRDefault="00587D0E">
      <w:pPr>
        <w:pStyle w:val="NormalnyWeb"/>
        <w:numPr>
          <w:ilvl w:val="0"/>
          <w:numId w:val="14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Sprawozdanie z realizacji Programu zostaje umieszczone w BIP.</w:t>
      </w:r>
    </w:p>
    <w:p w:rsidR="005E65DF" w:rsidRPr="0003196F" w:rsidRDefault="005E65DF">
      <w:pPr>
        <w:pStyle w:val="NormalnyWeb"/>
        <w:spacing w:beforeAutospacing="0" w:after="0"/>
        <w:ind w:left="426"/>
        <w:jc w:val="both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11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 xml:space="preserve">INFORMACJA O SPOSOBIE TWORZENIA PROGRAMU 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ORAZ O PRZEBIEGU KONSULTACJI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Roczny program współpracy Gminy z organizacjami pozarządowymi został opracowany w oparciu o doświadczenia wynikające z realizacji programów współpracy w latach ubiegłych oraz wiedzę merytoryczną uzyskaną podczas kursów i szkoleń pracowników merytorycznych. W opracowaniu uwzględniono uwagi uzyskane w trakcie konsultacji społecznych.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celu uzyskania uwag i wniosków od organizacji pozarządowych projekt programu został zamieszczony na stronie internetowej Gminy w zakładce NGO oraz na tablicy ogłoszeń.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Uwagi i wnioski dotyczące Programu można było składać od 1</w:t>
      </w:r>
      <w:r w:rsidR="0003196F" w:rsidRPr="0003196F">
        <w:rPr>
          <w:rFonts w:asciiTheme="minorHAnsi" w:hAnsiTheme="minorHAnsi"/>
          <w:color w:val="000000"/>
        </w:rPr>
        <w:t>7</w:t>
      </w:r>
      <w:r w:rsidRPr="0003196F">
        <w:rPr>
          <w:rFonts w:asciiTheme="minorHAnsi" w:hAnsiTheme="minorHAnsi"/>
          <w:color w:val="000000"/>
        </w:rPr>
        <w:t>.09.20</w:t>
      </w:r>
      <w:r w:rsidR="0003196F" w:rsidRPr="0003196F">
        <w:rPr>
          <w:rFonts w:asciiTheme="minorHAnsi" w:hAnsiTheme="minorHAnsi"/>
          <w:color w:val="000000"/>
        </w:rPr>
        <w:t>20</w:t>
      </w:r>
      <w:r w:rsidRPr="0003196F">
        <w:rPr>
          <w:rFonts w:asciiTheme="minorHAnsi" w:hAnsiTheme="minorHAnsi"/>
          <w:color w:val="000000"/>
        </w:rPr>
        <w:t xml:space="preserve"> r. do </w:t>
      </w:r>
      <w:r w:rsidR="0003196F" w:rsidRPr="0003196F">
        <w:rPr>
          <w:rFonts w:asciiTheme="minorHAnsi" w:hAnsiTheme="minorHAnsi"/>
          <w:color w:val="000000"/>
        </w:rPr>
        <w:t>19</w:t>
      </w:r>
      <w:r w:rsidRPr="0003196F">
        <w:rPr>
          <w:rFonts w:asciiTheme="minorHAnsi" w:hAnsiTheme="minorHAnsi"/>
          <w:color w:val="000000"/>
        </w:rPr>
        <w:t>.10.20</w:t>
      </w:r>
      <w:r w:rsidR="0003196F" w:rsidRPr="0003196F">
        <w:rPr>
          <w:rFonts w:asciiTheme="minorHAnsi" w:hAnsiTheme="minorHAnsi"/>
          <w:color w:val="000000"/>
        </w:rPr>
        <w:t>20</w:t>
      </w:r>
      <w:r w:rsidRPr="0003196F">
        <w:rPr>
          <w:rFonts w:asciiTheme="minorHAnsi" w:hAnsiTheme="minorHAnsi"/>
          <w:color w:val="000000"/>
        </w:rPr>
        <w:t> r.</w:t>
      </w:r>
    </w:p>
    <w:p w:rsidR="005E65DF" w:rsidRPr="0003196F" w:rsidRDefault="00587D0E">
      <w:pPr>
        <w:numPr>
          <w:ilvl w:val="0"/>
          <w:numId w:val="19"/>
        </w:numPr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ustnie i pisemnie podczas dyżuru, który odbył się w dniu </w:t>
      </w:r>
      <w:r w:rsidR="00EB587F" w:rsidRPr="0003196F">
        <w:rPr>
          <w:rFonts w:asciiTheme="minorHAnsi" w:hAnsiTheme="minorHAnsi"/>
          <w:color w:val="000000"/>
        </w:rPr>
        <w:t>29.09.2020 w godz.</w:t>
      </w:r>
      <w:r w:rsidR="00DC4244">
        <w:rPr>
          <w:rFonts w:asciiTheme="minorHAnsi" w:hAnsiTheme="minorHAnsi"/>
          <w:color w:val="000000"/>
        </w:rPr>
        <w:t xml:space="preserve"> </w:t>
      </w:r>
      <w:r w:rsidR="00EB587F" w:rsidRPr="0003196F">
        <w:rPr>
          <w:rFonts w:asciiTheme="minorHAnsi" w:hAnsiTheme="minorHAnsi"/>
          <w:color w:val="000000"/>
        </w:rPr>
        <w:t>1</w:t>
      </w:r>
      <w:r w:rsidR="00DC4244">
        <w:rPr>
          <w:rFonts w:asciiTheme="minorHAnsi" w:hAnsiTheme="minorHAnsi"/>
          <w:color w:val="000000"/>
        </w:rPr>
        <w:t>6</w:t>
      </w:r>
      <w:r w:rsidR="00EB587F" w:rsidRPr="0003196F">
        <w:rPr>
          <w:rFonts w:asciiTheme="minorHAnsi" w:hAnsiTheme="minorHAnsi"/>
          <w:color w:val="000000"/>
        </w:rPr>
        <w:t>:00-18:00</w:t>
      </w:r>
    </w:p>
    <w:p w:rsidR="005E65DF" w:rsidRPr="0003196F" w:rsidRDefault="00587D0E">
      <w:pPr>
        <w:numPr>
          <w:ilvl w:val="0"/>
          <w:numId w:val="19"/>
        </w:numPr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pisemnie za pośrednictwem poczty elektronicznej na adres: </w:t>
      </w:r>
      <w:hyperlink r:id="rId8">
        <w:r w:rsidRPr="0003196F">
          <w:rPr>
            <w:rStyle w:val="czeinternetowe"/>
            <w:rFonts w:asciiTheme="minorHAnsi" w:hAnsiTheme="minorHAnsi"/>
          </w:rPr>
          <w:t>gmina@wyszkow.pl</w:t>
        </w:r>
      </w:hyperlink>
      <w:r w:rsidRPr="0003196F">
        <w:rPr>
          <w:rFonts w:asciiTheme="minorHAnsi" w:hAnsiTheme="minorHAnsi"/>
          <w:color w:val="000000"/>
        </w:rPr>
        <w:t xml:space="preserve">, osobiście lub za pośrednictwem poczty na adres: Urząd Miejski w Wyszkowie, Aleja Róż 2, 07-200 Wyszków </w:t>
      </w:r>
      <w:bookmarkStart w:id="0" w:name="_GoBack"/>
      <w:bookmarkEnd w:id="0"/>
      <w:r w:rsidRPr="0003196F">
        <w:rPr>
          <w:rFonts w:asciiTheme="minorHAnsi" w:hAnsiTheme="minorHAnsi"/>
          <w:color w:val="000000"/>
        </w:rPr>
        <w:t>z dopiskiem „Konsultacje programu współpracy na 2021 r.”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wyznaczonym terminie wpłynęło …. uwag, których wykaz wraz z informacją o uwzględnieniu zawiera „</w:t>
      </w:r>
      <w:r w:rsidR="0003196F" w:rsidRPr="0003196F">
        <w:rPr>
          <w:rFonts w:asciiTheme="minorHAnsi" w:hAnsiTheme="minorHAnsi"/>
        </w:rPr>
        <w:t xml:space="preserve">Wykaz uwag wniesionych do </w:t>
      </w:r>
      <w:r w:rsidRPr="0003196F">
        <w:rPr>
          <w:rFonts w:asciiTheme="minorHAnsi" w:hAnsiTheme="minorHAnsi"/>
        </w:rPr>
        <w:t>Rocznego programu współpracy gminy Wyszków w organizacjami pozarządowymi wymienionymi w art. 3 ust. 3 ustawy o działalności pożytku publicznego i o wolontariacie na 2021 rok”.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przypadku konieczności zmian programu współpracy w trakcie jego obowiązywania stosuje się tryb uproszczony polegający na umieszczeniu programu na stronie internetowej www.wyszkow.pl na okres nie krótszy niż 7 dni, w czasie którego można zgłaszać uwagi wyłącznie w formie pisemnej.</w:t>
      </w:r>
    </w:p>
    <w:p w:rsidR="005E65DF" w:rsidRPr="0003196F" w:rsidRDefault="005E65DF">
      <w:pPr>
        <w:pStyle w:val="NormalnyWeb"/>
        <w:spacing w:beforeAutospacing="0" w:after="0"/>
        <w:ind w:left="540" w:hanging="540"/>
        <w:jc w:val="both"/>
        <w:rPr>
          <w:rFonts w:asciiTheme="minorHAnsi" w:hAnsiTheme="minorHAnsi"/>
          <w:b/>
          <w:bCs/>
          <w:color w:val="0070C0"/>
          <w:sz w:val="27"/>
          <w:szCs w:val="27"/>
          <w:u w:val="single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12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TRYB POWOŁYWANIA I ZASADY DZIAŁANIA KOMISJI KONKURSOWYCH POWOŁANYCH DO OPINIOWANIA OFERT W KONKURSACH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W celu opiniowania Ofert na realizację zadań publicznych Burmistrz powołuje w formie zarządzenia komisję konkursową złożoną z przedstawicieli Burmistrza i przedstawicieli wskazanych przez organizacje pozarządowe (minimum 2 osoby) z wyłączeniem reprezentantów organizacji pozarządowych biorących udział w danym konkursie.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Na pierwszym posiedzeniu komisji konkursowej, po zapoznaniu się z wykazem złożonych Ofert, każdy członek komisji konkursowej składa oświadczenie, którego treść stanowi załącznik do „</w:t>
      </w:r>
      <w:r w:rsidRPr="0003196F">
        <w:rPr>
          <w:rFonts w:asciiTheme="minorHAnsi" w:hAnsiTheme="minorHAnsi"/>
          <w:i/>
          <w:color w:val="000000"/>
        </w:rPr>
        <w:t xml:space="preserve">Rocznego programu współpracy gminy Wyszków z organizacjami pozarządowymi oraz podmiotami wymienionymi w art. 3 ust. 3 ustawy o działalności pożytku publicznego i o wolontariacie na </w:t>
      </w:r>
      <w:r w:rsidRPr="0003196F">
        <w:rPr>
          <w:rFonts w:asciiTheme="minorHAnsi" w:hAnsiTheme="minorHAnsi"/>
          <w:i/>
        </w:rPr>
        <w:t>2021 r</w:t>
      </w:r>
      <w:r w:rsidRPr="0003196F">
        <w:rPr>
          <w:rFonts w:asciiTheme="minorHAnsi" w:hAnsiTheme="minorHAnsi"/>
        </w:rPr>
        <w:t xml:space="preserve">.”, </w:t>
      </w:r>
      <w:r w:rsidRPr="0003196F">
        <w:rPr>
          <w:rFonts w:asciiTheme="minorHAnsi" w:hAnsiTheme="minorHAnsi"/>
          <w:color w:val="000000"/>
        </w:rPr>
        <w:t>albo powiada</w:t>
      </w:r>
      <w:r w:rsidR="0003196F" w:rsidRPr="0003196F">
        <w:rPr>
          <w:rFonts w:asciiTheme="minorHAnsi" w:hAnsiTheme="minorHAnsi"/>
          <w:color w:val="000000"/>
        </w:rPr>
        <w:t>mia o wycofaniu się z udziału w </w:t>
      </w:r>
      <w:r w:rsidRPr="0003196F">
        <w:rPr>
          <w:rFonts w:asciiTheme="minorHAnsi" w:hAnsiTheme="minorHAnsi"/>
          <w:color w:val="000000"/>
        </w:rPr>
        <w:t>pracach komisji konkursowej.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Uzupełnienie składu komisji konkursowej jest obligatoryjne wyłącznie w przypadku, gdy liczba członków komisji konkursowej, będzie mniejsza niż 3 członków. Uzupełnienia dokonuje Burmistrz w drodze Zarządzenia, spośród kandydatów, którzy spełniają wymogi do złożenia oświadczenia o których mowa w ust.2.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Komisja konkursowa może działać bez udziału przedstawiciela organizacji pozarządowej, jeżeli:</w:t>
      </w:r>
    </w:p>
    <w:p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żadna organizacja pozarządowa nie wskaże osób do składu komisji konkursowej,</w:t>
      </w:r>
    </w:p>
    <w:p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wskazane osoby nie wezmą udziału w pracach komisji konkursowej,</w:t>
      </w:r>
    </w:p>
    <w:p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 w:cs="TimesNewRomanPSMT"/>
        </w:rPr>
        <w:t>wszystkie powołane w skład komisji konkursowej osoby podlegają wyłączeniu</w:t>
      </w:r>
      <w:r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 w:cs="TimesNewRomanPSMT"/>
        </w:rPr>
        <w:t>na podstawie art. 15 ust. 2d lub art. 15 ust. 2f Ustawy.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Pracami komisji konkursowej kieruje przewodniczący.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Komisja obraduje na posiedzeniach zamkniętych, bez udziału oferentów. Termin i miejsce posiedzenia komisji określa przewodniczący.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Na pierwszym posiedzeniu komisja konkursowa wybiera sekretarza, który protokołuje każde posiedzenie komisji konkursowej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Komisja przystępując do rozstrzygnięcia otwartego konkursu ofert kolejno: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ustala, które z ofert spełniają warunki formalne,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odrzuca oferty nie odpowiadające wymogom formalnym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rozpatruje merytorycznie oferty spełniające warunki formalne,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przygotowuje wykaz ofert, które rekomenduje do udzielenia dotacji.</w:t>
      </w:r>
    </w:p>
    <w:p w:rsidR="005E65DF" w:rsidRPr="0003196F" w:rsidRDefault="00587D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Komisja konkursowa podejmuje rozstrzygnięcia w głosowaniu jawnym, zwykłą większością głosów, w obecności co najmniej połowy członków.</w:t>
      </w:r>
    </w:p>
    <w:p w:rsidR="005E65DF" w:rsidRPr="0003196F" w:rsidRDefault="00587D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Do zadań komisji konkursowej przy rozpatrywaniu Ofert od strony formalnej należy ocena: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terminowość złożenia Oferty,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czy Oferta wypełniona jest prawidłowo na wzorze, o którym mowa w § 1 ust. 1 </w:t>
      </w:r>
      <w:r w:rsidRPr="0003196F">
        <w:rPr>
          <w:rFonts w:asciiTheme="minorHAnsi" w:hAnsiTheme="minorHAnsi"/>
          <w:i/>
          <w:color w:val="000000"/>
        </w:rPr>
        <w:t>Rozporządzenia Przewodniczącego Komitetu do spraw Pożytku Publicznego z dnia 24.10.2018</w:t>
      </w:r>
      <w:r w:rsidR="0003196F" w:rsidRPr="0003196F">
        <w:rPr>
          <w:rFonts w:asciiTheme="minorHAnsi" w:hAnsiTheme="minorHAnsi"/>
          <w:i/>
          <w:color w:val="000000"/>
        </w:rPr>
        <w:t xml:space="preserve"> </w:t>
      </w:r>
      <w:r w:rsidRPr="0003196F">
        <w:rPr>
          <w:rFonts w:asciiTheme="minorHAnsi" w:hAnsiTheme="minorHAnsi"/>
          <w:i/>
          <w:color w:val="000000"/>
        </w:rPr>
        <w:t>r. w sprawie wzorów ofert i ramowych wzorów umów dotyczących realizacji zadań publicznych oraz wzorów sprawozdań z wykonania tych zadań (poz. 2057),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czy Oferta jest podpisana przez osoby uprawnione,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czy oferent jest uprawniony do złożenia oferty w trybie ogłoszonego konkursu,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zbieżności celów statutowych organizacji pozarządowej z zadaniem określonym w ogłoszeniu.</w:t>
      </w:r>
    </w:p>
    <w:p w:rsidR="005E65DF" w:rsidRPr="0003196F" w:rsidRDefault="00587D0E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Komisja konkursowa odrzuca bez dalszego rozpatrzenia Oferty, które nie spełniają wymogów formalnych. Za Ofertę nie spełniającą wymogów formalnych uznaje się Ofertę: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złożoną po terminie,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wypełnioną na nieprawidłowym wzorze,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nie podpisaną przez osoby uprawnione,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złożoną przez podmiot nieuprawniony do złożenia oferty w trybie ogłoszonego konkursu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złożona na zadanie, które nie jest zbieżne z celami statutowymi organizacji pozarządowej, która ja składa.</w:t>
      </w:r>
    </w:p>
    <w:p w:rsidR="005E65DF" w:rsidRPr="0003196F" w:rsidRDefault="00587D0E">
      <w:pPr>
        <w:pStyle w:val="Akapitzlist"/>
        <w:numPr>
          <w:ilvl w:val="0"/>
          <w:numId w:val="31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Do zadań komisji konkursowej przy rozpatrywaniu Ofert pod względem merytorycznym należy w szczególności: 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możliwości realizacji zadania publicznego,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przedstawionej realnej kalkulacji kosztów realizacji zadania publicznego, w tym w odniesieniu do zakresu rzeczowego zadania publicznego,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proponowanej jakości wykonania zadania oraz kwalifikacji osób przy udziale, których organizacja pozarządowa będzie realizować zadanie publiczne,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uwzględnienie w przypadku zlecania do realizacji zadania publicznego w formie wsparcia: wysokości zadeklarowanego udziału środków finansowych własnych lub środków pochodzących z innych źródeł na realizację zadania publicznego,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uwzględnienie planowanego przez organizację pozarządową wkładu rzeczowego, osobowego, w tym świadczeń wolontariuszy i pracę społeczną członków,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uwzględnienie analizy i oceny realizacji zleconych zadań publicznych w przypadku organizacji pozarządowej w latach poprzednich realizującej zlecone zadanie publiczne, biorąc pod uwagę rzetelność i terminowość oraz sposób rozliczenia otrzymanych na ten cel środków, </w:t>
      </w:r>
    </w:p>
    <w:p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Przewodniczący komisji konkursowej przekaże Burmistrzowi protokół i dokumentację z postępowania konkursowego.</w:t>
      </w:r>
    </w:p>
    <w:p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Wszyscy członkowie komisji konkursowej mają prawo do wglądu w dokumentację stanowiącą podstawę pracy komisji – zarówno podczas trwania posiedzeń, w okresie między posiedzeniami, jak i po zakończeniu procedury konkursowej przez okres roku od rozstrzygnięcia konkursu.</w:t>
      </w:r>
    </w:p>
    <w:p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Decyzję o wysokości udzielonych dotacji Burmistrz podaje do publicznej wiadomości w formie Zarządzenia, które podlega ogłoszeniu:</w:t>
      </w:r>
    </w:p>
    <w:p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w BIP,</w:t>
      </w:r>
    </w:p>
    <w:p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 xml:space="preserve">- na stronie www.wyszkow.pl </w:t>
      </w:r>
      <w:r w:rsidRPr="0003196F">
        <w:rPr>
          <w:rFonts w:asciiTheme="minorHAnsi" w:hAnsiTheme="minorHAnsi"/>
          <w:i/>
          <w:color w:val="000000"/>
        </w:rPr>
        <w:t>(zakładka NGO),</w:t>
      </w:r>
    </w:p>
    <w:p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na tablicy ogłoszeń w Urzędzie.</w:t>
      </w:r>
    </w:p>
    <w:p w:rsidR="005E65DF" w:rsidRDefault="005E65DF">
      <w:pPr>
        <w:pStyle w:val="NormalnyWeb"/>
        <w:spacing w:beforeAutospacing="0" w:after="0"/>
        <w:ind w:firstLine="6379"/>
        <w:rPr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5E65DF">
        <w:tc>
          <w:tcPr>
            <w:tcW w:w="4889" w:type="dxa"/>
            <w:shd w:val="clear" w:color="auto" w:fill="auto"/>
          </w:tcPr>
          <w:p w:rsidR="005E65DF" w:rsidRDefault="005E65DF">
            <w:pPr>
              <w:pStyle w:val="NormalnyWeb"/>
              <w:spacing w:beforeAutospacing="0" w:after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5E65DF" w:rsidRPr="0003196F" w:rsidRDefault="00587D0E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  <w:r w:rsidRPr="0003196F">
              <w:rPr>
                <w:rFonts w:asciiTheme="minorHAnsi" w:eastAsia="Calibri" w:hAnsiTheme="minorHAnsi"/>
                <w:b/>
                <w:szCs w:val="20"/>
              </w:rPr>
              <w:t>Przewodnicząca Rady</w:t>
            </w:r>
          </w:p>
          <w:p w:rsidR="005E65DF" w:rsidRPr="0003196F" w:rsidRDefault="005E65DF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  <w:p w:rsidR="005E65DF" w:rsidRPr="0003196F" w:rsidRDefault="005E65DF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  <w:p w:rsidR="005E65DF" w:rsidRDefault="00587D0E">
            <w:pPr>
              <w:pStyle w:val="NormalnyWeb"/>
              <w:spacing w:beforeAutospacing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196F">
              <w:rPr>
                <w:rFonts w:asciiTheme="minorHAnsi" w:eastAsia="Calibri" w:hAnsiTheme="minorHAnsi"/>
                <w:b/>
                <w:szCs w:val="20"/>
              </w:rPr>
              <w:t>………………………</w:t>
            </w:r>
          </w:p>
        </w:tc>
      </w:tr>
    </w:tbl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20"/>
          <w:szCs w:val="20"/>
        </w:rPr>
      </w:pPr>
      <w:r>
        <w:br w:type="page"/>
      </w:r>
      <w:r>
        <w:rPr>
          <w:rFonts w:ascii="Arial" w:hAnsi="Arial" w:cs="Arial"/>
          <w:sz w:val="20"/>
          <w:szCs w:val="20"/>
        </w:rPr>
        <w:lastRenderedPageBreak/>
        <w:t>Załącznik do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Rocznego programu współpracy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gminy Wyszków z organizacjami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pozarządowymi </w:t>
      </w:r>
      <w:r>
        <w:rPr>
          <w:rFonts w:ascii="Arial" w:hAnsi="Arial" w:cs="Arial"/>
          <w:color w:val="000000"/>
          <w:sz w:val="18"/>
          <w:szCs w:val="18"/>
        </w:rPr>
        <w:t xml:space="preserve">oraz podmiotami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wymienionymi w art. 3 ust. 3 ustawy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 działalności pożytku publicznego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o wolontariacie</w:t>
      </w:r>
      <w:r>
        <w:rPr>
          <w:rFonts w:ascii="Arial" w:hAnsi="Arial" w:cs="Arial"/>
          <w:sz w:val="18"/>
          <w:szCs w:val="18"/>
        </w:rPr>
        <w:t xml:space="preserve"> na 2021 r.</w:t>
      </w:r>
    </w:p>
    <w:p w:rsidR="005E65DF" w:rsidRDefault="005E65DF">
      <w:pPr>
        <w:pStyle w:val="NormalnyWeb"/>
        <w:spacing w:beforeAutospacing="0" w:after="0"/>
        <w:rPr>
          <w:rFonts w:ascii="Arial" w:hAnsi="Arial" w:cs="Arial"/>
          <w:sz w:val="20"/>
          <w:szCs w:val="20"/>
        </w:rPr>
      </w:pPr>
    </w:p>
    <w:p w:rsidR="005E65DF" w:rsidRDefault="005E65DF">
      <w:pPr>
        <w:pStyle w:val="NormalnyWeb"/>
        <w:spacing w:beforeAutospacing="0" w:after="0"/>
        <w:rPr>
          <w:rFonts w:ascii="Arial" w:hAnsi="Arial" w:cs="Arial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3936"/>
        <w:gridCol w:w="5843"/>
      </w:tblGrid>
      <w:tr w:rsidR="005E65DF">
        <w:tc>
          <w:tcPr>
            <w:tcW w:w="3936" w:type="dxa"/>
            <w:shd w:val="clear" w:color="auto" w:fill="auto"/>
          </w:tcPr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(imię i nazwisko)</w:t>
            </w:r>
          </w:p>
          <w:p w:rsidR="005E65DF" w:rsidRDefault="005E6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reprezentowana funkcja w związku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z pracami w komisji konkursowej</w:t>
            </w:r>
          </w:p>
          <w:p w:rsidR="005E65DF" w:rsidRDefault="005E65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42" w:type="dxa"/>
            <w:shd w:val="clear" w:color="auto" w:fill="auto"/>
          </w:tcPr>
          <w:p w:rsidR="005E65DF" w:rsidRDefault="005E65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E65DF" w:rsidRDefault="005E65DF"/>
    <w:p w:rsidR="005E65DF" w:rsidRDefault="005E65DF"/>
    <w:p w:rsidR="005E65DF" w:rsidRDefault="005E65DF"/>
    <w:p w:rsidR="005E65DF" w:rsidRDefault="005E65DF"/>
    <w:p w:rsidR="005E65DF" w:rsidRDefault="005E65DF"/>
    <w:p w:rsidR="005E65DF" w:rsidRPr="00EB44BF" w:rsidRDefault="00587D0E">
      <w:pPr>
        <w:jc w:val="center"/>
        <w:rPr>
          <w:rFonts w:ascii="Arial" w:hAnsi="Arial" w:cs="Arial"/>
          <w:b/>
          <w:sz w:val="36"/>
          <w:szCs w:val="36"/>
        </w:rPr>
      </w:pPr>
      <w:r w:rsidRPr="00EB44BF">
        <w:rPr>
          <w:rFonts w:ascii="Arial" w:hAnsi="Arial" w:cs="Arial"/>
          <w:b/>
          <w:sz w:val="36"/>
          <w:szCs w:val="36"/>
        </w:rPr>
        <w:t>OŚWIADCZENIE</w:t>
      </w:r>
    </w:p>
    <w:p w:rsidR="005E65DF" w:rsidRDefault="005E65DF">
      <w:pPr>
        <w:jc w:val="both"/>
        <w:rPr>
          <w:b/>
          <w:sz w:val="36"/>
          <w:szCs w:val="36"/>
        </w:rPr>
      </w:pPr>
    </w:p>
    <w:p w:rsidR="005E65DF" w:rsidRDefault="005E65DF">
      <w:pPr>
        <w:jc w:val="both"/>
        <w:rPr>
          <w:b/>
          <w:sz w:val="36"/>
          <w:szCs w:val="36"/>
        </w:rPr>
      </w:pPr>
    </w:p>
    <w:p w:rsidR="005E65DF" w:rsidRDefault="00587D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postanowień art. 24 Kodeksu Postępowania Administracyjnego niniejszym oświadczam, że nie występują, ani też nie są mi znane okoliczności, które mogą wywołać wątpliwość co do bezstronności w rozpatrywaniu ofert złożonych w ramach konkursu </w:t>
      </w:r>
      <w:r>
        <w:rPr>
          <w:rFonts w:ascii="Arial" w:hAnsi="Arial" w:cs="Arial"/>
          <w:b/>
          <w:bCs/>
          <w:sz w:val="20"/>
          <w:szCs w:val="20"/>
        </w:rPr>
        <w:t>na realizację zadań publicznych ogłoszonego w dniu ……..</w:t>
      </w:r>
    </w:p>
    <w:p w:rsidR="005E65DF" w:rsidRDefault="00587D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jednocześnie, że znane mi są przepisy o ochronie danych osobowych i zobowiązuję się do przestrzegania ich postanowień oraz zachowania tajemnicy wszystkich danych, do których </w:t>
      </w:r>
      <w:r>
        <w:rPr>
          <w:rFonts w:ascii="Arial" w:hAnsi="Arial" w:cs="Arial"/>
          <w:sz w:val="20"/>
          <w:szCs w:val="20"/>
        </w:rPr>
        <w:br/>
        <w:t>miałem 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dostęp w związku z pracami w Komisji.</w:t>
      </w: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5E65DF">
        <w:tc>
          <w:tcPr>
            <w:tcW w:w="4889" w:type="dxa"/>
            <w:shd w:val="clear" w:color="auto" w:fill="auto"/>
          </w:tcPr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  <w:shd w:val="clear" w:color="auto" w:fill="auto"/>
          </w:tcPr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:rsidR="005E65DF" w:rsidRDefault="005E65DF">
      <w:pPr>
        <w:rPr>
          <w:rFonts w:ascii="Arial" w:hAnsi="Arial" w:cs="Arial"/>
          <w:b/>
          <w:bCs/>
          <w:sz w:val="20"/>
          <w:szCs w:val="20"/>
        </w:rPr>
      </w:pPr>
    </w:p>
    <w:p w:rsidR="005E65DF" w:rsidRDefault="005E65DF">
      <w:pPr>
        <w:rPr>
          <w:rFonts w:ascii="Arial" w:hAnsi="Arial" w:cs="Arial"/>
          <w:b/>
          <w:bCs/>
          <w:sz w:val="20"/>
          <w:szCs w:val="20"/>
        </w:rPr>
      </w:pPr>
    </w:p>
    <w:sectPr w:rsidR="005E65DF">
      <w:footerReference w:type="default" r:id="rId9"/>
      <w:footerReference w:type="first" r:id="rId10"/>
      <w:pgSz w:w="11906" w:h="16838"/>
      <w:pgMar w:top="1021" w:right="1134" w:bottom="1134" w:left="1134" w:header="0" w:footer="1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43" w:rsidRDefault="00451F43">
      <w:r>
        <w:separator/>
      </w:r>
    </w:p>
  </w:endnote>
  <w:endnote w:type="continuationSeparator" w:id="0">
    <w:p w:rsidR="00451F43" w:rsidRDefault="0045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DF" w:rsidRDefault="00587D0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C4244">
      <w:rPr>
        <w:noProof/>
      </w:rPr>
      <w:t>9</w:t>
    </w:r>
    <w:r>
      <w:fldChar w:fldCharType="end"/>
    </w:r>
  </w:p>
  <w:p w:rsidR="005E65DF" w:rsidRDefault="005E65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DF" w:rsidRDefault="00587D0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C4244">
      <w:rPr>
        <w:noProof/>
      </w:rPr>
      <w:t>1</w:t>
    </w:r>
    <w:r>
      <w:fldChar w:fldCharType="end"/>
    </w:r>
  </w:p>
  <w:p w:rsidR="005E65DF" w:rsidRDefault="005E6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43" w:rsidRDefault="00451F43">
      <w:r>
        <w:separator/>
      </w:r>
    </w:p>
  </w:footnote>
  <w:footnote w:type="continuationSeparator" w:id="0">
    <w:p w:rsidR="00451F43" w:rsidRDefault="0045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F00"/>
    <w:multiLevelType w:val="multilevel"/>
    <w:tmpl w:val="5308ED5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E3C"/>
    <w:multiLevelType w:val="multilevel"/>
    <w:tmpl w:val="D97E5A2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CF40B2"/>
    <w:multiLevelType w:val="multilevel"/>
    <w:tmpl w:val="4FC80DF0"/>
    <w:lvl w:ilvl="0">
      <w:start w:val="1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F70"/>
    <w:multiLevelType w:val="multilevel"/>
    <w:tmpl w:val="964ED18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)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6251B1"/>
    <w:multiLevelType w:val="multilevel"/>
    <w:tmpl w:val="9078C4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770"/>
    <w:multiLevelType w:val="multilevel"/>
    <w:tmpl w:val="59128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FC77BE5"/>
    <w:multiLevelType w:val="multilevel"/>
    <w:tmpl w:val="C18A5100"/>
    <w:lvl w:ilvl="0">
      <w:start w:val="3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3F5"/>
    <w:multiLevelType w:val="multilevel"/>
    <w:tmpl w:val="8CFE56A6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33E1"/>
    <w:multiLevelType w:val="multilevel"/>
    <w:tmpl w:val="F69C5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639E"/>
    <w:multiLevelType w:val="multilevel"/>
    <w:tmpl w:val="FA54F7D2"/>
    <w:lvl w:ilvl="0">
      <w:start w:val="11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00C4"/>
    <w:multiLevelType w:val="multilevel"/>
    <w:tmpl w:val="1A78EDE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5A182C"/>
    <w:multiLevelType w:val="multilevel"/>
    <w:tmpl w:val="2E4C79B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3D13"/>
    <w:multiLevelType w:val="multilevel"/>
    <w:tmpl w:val="9B42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8220C"/>
    <w:multiLevelType w:val="multilevel"/>
    <w:tmpl w:val="A5AAE936"/>
    <w:lvl w:ilvl="0">
      <w:start w:val="9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0EF8"/>
    <w:multiLevelType w:val="multilevel"/>
    <w:tmpl w:val="E6F6EF0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442737"/>
    <w:multiLevelType w:val="multilevel"/>
    <w:tmpl w:val="268063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28C6"/>
    <w:multiLevelType w:val="multilevel"/>
    <w:tmpl w:val="FF54D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7AF4"/>
    <w:multiLevelType w:val="multilevel"/>
    <w:tmpl w:val="5FB29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E1D8D"/>
    <w:multiLevelType w:val="multilevel"/>
    <w:tmpl w:val="A63E3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450D"/>
    <w:multiLevelType w:val="multilevel"/>
    <w:tmpl w:val="89DC2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B90587"/>
    <w:multiLevelType w:val="multilevel"/>
    <w:tmpl w:val="7F74F4E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054EED"/>
    <w:multiLevelType w:val="multilevel"/>
    <w:tmpl w:val="376487E4"/>
    <w:lvl w:ilvl="0">
      <w:start w:val="1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6857"/>
    <w:multiLevelType w:val="multilevel"/>
    <w:tmpl w:val="2F30B744"/>
    <w:lvl w:ilvl="0">
      <w:start w:val="9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E7210"/>
    <w:multiLevelType w:val="multilevel"/>
    <w:tmpl w:val="503A0FF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EB0FB9"/>
    <w:multiLevelType w:val="multilevel"/>
    <w:tmpl w:val="D618DA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4358E0"/>
    <w:multiLevelType w:val="multilevel"/>
    <w:tmpl w:val="AD288D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0C7999"/>
    <w:multiLevelType w:val="multilevel"/>
    <w:tmpl w:val="77185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D3D9E"/>
    <w:multiLevelType w:val="multilevel"/>
    <w:tmpl w:val="23F490BE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AB34EB0"/>
    <w:multiLevelType w:val="multilevel"/>
    <w:tmpl w:val="D58E5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1150"/>
    <w:multiLevelType w:val="multilevel"/>
    <w:tmpl w:val="B086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175D2"/>
    <w:multiLevelType w:val="multilevel"/>
    <w:tmpl w:val="7718321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0D0E"/>
    <w:multiLevelType w:val="multilevel"/>
    <w:tmpl w:val="2064094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542B"/>
    <w:multiLevelType w:val="multilevel"/>
    <w:tmpl w:val="94D2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7E49"/>
    <w:multiLevelType w:val="multilevel"/>
    <w:tmpl w:val="F802F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826D2"/>
    <w:multiLevelType w:val="multilevel"/>
    <w:tmpl w:val="DF4A9600"/>
    <w:lvl w:ilvl="0">
      <w:start w:val="1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360C3"/>
    <w:multiLevelType w:val="multilevel"/>
    <w:tmpl w:val="AD82F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72E3B"/>
    <w:multiLevelType w:val="multilevel"/>
    <w:tmpl w:val="92DEE7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16"/>
  </w:num>
  <w:num w:numId="9">
    <w:abstractNumId w:val="12"/>
  </w:num>
  <w:num w:numId="10">
    <w:abstractNumId w:val="8"/>
  </w:num>
  <w:num w:numId="11">
    <w:abstractNumId w:val="18"/>
  </w:num>
  <w:num w:numId="12">
    <w:abstractNumId w:val="32"/>
  </w:num>
  <w:num w:numId="13">
    <w:abstractNumId w:val="23"/>
  </w:num>
  <w:num w:numId="14">
    <w:abstractNumId w:val="28"/>
  </w:num>
  <w:num w:numId="15">
    <w:abstractNumId w:val="0"/>
  </w:num>
  <w:num w:numId="16">
    <w:abstractNumId w:val="31"/>
  </w:num>
  <w:num w:numId="17">
    <w:abstractNumId w:val="11"/>
  </w:num>
  <w:num w:numId="18">
    <w:abstractNumId w:val="1"/>
  </w:num>
  <w:num w:numId="19">
    <w:abstractNumId w:val="4"/>
  </w:num>
  <w:num w:numId="20">
    <w:abstractNumId w:val="24"/>
  </w:num>
  <w:num w:numId="21">
    <w:abstractNumId w:val="20"/>
  </w:num>
  <w:num w:numId="22">
    <w:abstractNumId w:val="29"/>
  </w:num>
  <w:num w:numId="23">
    <w:abstractNumId w:val="14"/>
  </w:num>
  <w:num w:numId="24">
    <w:abstractNumId w:val="35"/>
  </w:num>
  <w:num w:numId="25">
    <w:abstractNumId w:val="6"/>
  </w:num>
  <w:num w:numId="26">
    <w:abstractNumId w:val="30"/>
  </w:num>
  <w:num w:numId="27">
    <w:abstractNumId w:val="22"/>
  </w:num>
  <w:num w:numId="28">
    <w:abstractNumId w:val="13"/>
  </w:num>
  <w:num w:numId="29">
    <w:abstractNumId w:val="9"/>
  </w:num>
  <w:num w:numId="30">
    <w:abstractNumId w:val="34"/>
  </w:num>
  <w:num w:numId="31">
    <w:abstractNumId w:val="2"/>
  </w:num>
  <w:num w:numId="32">
    <w:abstractNumId w:val="7"/>
  </w:num>
  <w:num w:numId="33">
    <w:abstractNumId w:val="21"/>
  </w:num>
  <w:num w:numId="34">
    <w:abstractNumId w:val="26"/>
  </w:num>
  <w:num w:numId="35">
    <w:abstractNumId w:val="36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DF"/>
    <w:rsid w:val="0003196F"/>
    <w:rsid w:val="00445149"/>
    <w:rsid w:val="00451F43"/>
    <w:rsid w:val="00587D0E"/>
    <w:rsid w:val="005E65DF"/>
    <w:rsid w:val="00DC4244"/>
    <w:rsid w:val="00EB44BF"/>
    <w:rsid w:val="00E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293D-F958-4F26-9A01-3491B4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807B80"/>
    <w:rPr>
      <w:vertAlign w:val="superscript"/>
    </w:rPr>
  </w:style>
  <w:style w:type="character" w:styleId="Numerstrony">
    <w:name w:val="page number"/>
    <w:basedOn w:val="Domylnaczcionkaakapitu"/>
    <w:qFormat/>
    <w:rsid w:val="00326BDF"/>
  </w:style>
  <w:style w:type="character" w:customStyle="1" w:styleId="TekstprzypisudolnegoZnak">
    <w:name w:val="Tekst przypisu dolnego Znak"/>
    <w:link w:val="Tekstprzypisudolnego"/>
    <w:qFormat/>
    <w:rsid w:val="0044670D"/>
    <w:rPr>
      <w:lang w:val="pl-PL" w:eastAsia="pl-PL" w:bidi="ar-SA"/>
    </w:rPr>
  </w:style>
  <w:style w:type="character" w:customStyle="1" w:styleId="czeinternetowe">
    <w:name w:val="Łącze internetowe"/>
    <w:rsid w:val="0059427E"/>
    <w:rPr>
      <w:color w:val="0000FF"/>
      <w:u w:val="single"/>
    </w:rPr>
  </w:style>
  <w:style w:type="character" w:styleId="Odwoaniedokomentarza">
    <w:name w:val="annotation reference"/>
    <w:semiHidden/>
    <w:qFormat/>
    <w:rsid w:val="00FC02E7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1174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5A04D4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FC30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9A1B90"/>
    <w:pPr>
      <w:spacing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paragraph" w:customStyle="1" w:styleId="Guidelines2">
    <w:name w:val="Guidelines 2"/>
    <w:basedOn w:val="Normalny"/>
    <w:qFormat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Tekstkomentarza">
    <w:name w:val="annotation text"/>
    <w:basedOn w:val="Normalny"/>
    <w:semiHidden/>
    <w:qFormat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FC02E7"/>
    <w:rPr>
      <w:b/>
      <w:bCs/>
    </w:rPr>
  </w:style>
  <w:style w:type="paragraph" w:styleId="Tekstdymka">
    <w:name w:val="Balloon Text"/>
    <w:basedOn w:val="Normalny"/>
    <w:semiHidden/>
    <w:qFormat/>
    <w:rsid w:val="00FC02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  <w:style w:type="table" w:styleId="Tabela-Siatka">
    <w:name w:val="Table Grid"/>
    <w:basedOn w:val="Standardowy"/>
    <w:uiPriority w:val="59"/>
    <w:rsid w:val="00AF75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7C12-8ED3-438E-B657-623C0387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Switalska</dc:creator>
  <dc:description/>
  <cp:lastModifiedBy>Edyta Wittich</cp:lastModifiedBy>
  <cp:revision>3</cp:revision>
  <cp:lastPrinted>2017-09-13T12:58:00Z</cp:lastPrinted>
  <dcterms:created xsi:type="dcterms:W3CDTF">2020-09-16T13:37:00Z</dcterms:created>
  <dcterms:modified xsi:type="dcterms:W3CDTF">2020-09-17T08:47:00Z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